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52" w:beforeAutospacing="0" w:before="280" w:afterAutospacing="0" w:after="280"/>
        <w:jc w:val="both"/>
        <w:rPr/>
      </w:pPr>
      <w:r>
        <w:rPr>
          <w:rFonts w:ascii="Arial;Helvetica;sans-serif" w:hAnsi="Arial;Helvetica;sans-serif"/>
          <w:b w:val="false"/>
          <w:i w:val="false"/>
          <w:caps w:val="false"/>
          <w:smallCaps w:val="false"/>
          <w:color w:val="222222"/>
          <w:spacing w:val="0"/>
          <w:sz w:val="24"/>
          <w:szCs w:val="28"/>
        </w:rPr>
        <w:t>Nous, Réaction en chaîne humaine et CRIIRAD de France, NOAH Amis de la Terre du Danemark, Plage und Atomstopp d'Autriche et BI Dannenberg d'Allemagne, remercions Michèle Rivasi, députée européenne française, pour avoir soutenu notre travail et organisé cette conférence sur EURATOM. Le dinosaure de 64 ans que sont les traités européens est un obstacle au développement rapide des énergies renouvelables pour assurer l'avenir de l'Europe</w:t>
      </w:r>
      <w:r>
        <w:rPr>
          <w:color w:val="FF00FF"/>
          <w:sz w:val="28"/>
          <w:szCs w:val="28"/>
        </w:rPr>
        <w:t xml:space="preserve"> </w:t>
      </w:r>
    </w:p>
    <w:p>
      <w:pPr>
        <w:pStyle w:val="NormalWeb"/>
        <w:spacing w:lineRule="auto" w:line="252"/>
        <w:jc w:val="both"/>
        <w:rPr>
          <w:color w:val="FF00FF"/>
          <w:sz w:val="28"/>
          <w:szCs w:val="28"/>
        </w:rPr>
      </w:pPr>
      <w:r>
        <w:rPr>
          <w:rFonts w:ascii="Arial;Helvetica;sans-serif" w:hAnsi="Arial;Helvetica;sans-serif"/>
          <w:b w:val="false"/>
          <w:i w:val="false"/>
          <w:caps w:val="false"/>
          <w:smallCaps w:val="false"/>
          <w:color w:val="222222"/>
          <w:spacing w:val="0"/>
          <w:sz w:val="24"/>
          <w:szCs w:val="28"/>
        </w:rPr>
        <w:t>Nous n avons plus le temps pour la partie de poker que joue le gouvernement et les lobbying</w:t>
      </w:r>
      <w:r>
        <w:rPr>
          <w:color w:val="FF00FF"/>
          <w:sz w:val="28"/>
          <w:szCs w:val="28"/>
        </w:rPr>
        <w:t xml:space="preserve"> </w:t>
      </w:r>
    </w:p>
    <w:p>
      <w:pPr>
        <w:pStyle w:val="NormalWeb"/>
        <w:spacing w:lineRule="auto" w:line="252"/>
        <w:jc w:val="both"/>
        <w:rPr>
          <w:color w:val="FF00FF"/>
          <w:sz w:val="28"/>
          <w:szCs w:val="28"/>
        </w:rPr>
      </w:pPr>
      <w:r>
        <w:rPr>
          <w:color w:val="FF00FF"/>
          <w:sz w:val="28"/>
          <w:szCs w:val="28"/>
        </w:rPr>
      </w:r>
    </w:p>
    <w:p>
      <w:pPr>
        <w:pStyle w:val="NormalWeb"/>
        <w:spacing w:lineRule="auto" w:line="252"/>
        <w:jc w:val="both"/>
        <w:rPr>
          <w:sz w:val="28"/>
          <w:szCs w:val="28"/>
        </w:rPr>
      </w:pPr>
      <w:r>
        <w:rPr>
          <w:color w:val="FF00FF"/>
          <w:sz w:val="28"/>
          <w:szCs w:val="28"/>
        </w:rPr>
        <w:t>DIAPO 1a</w:t>
      </w:r>
    </w:p>
    <w:p>
      <w:pPr>
        <w:pStyle w:val="NormalWeb"/>
        <w:spacing w:beforeAutospacing="0" w:before="0" w:afterAutospacing="0" w:after="0"/>
        <w:jc w:val="both"/>
        <w:rPr>
          <w:rFonts w:eastAsia="Calibri"/>
          <w:color w:val="4472C4" w:themeColor="accent1"/>
          <w:sz w:val="28"/>
          <w:szCs w:val="28"/>
        </w:rPr>
      </w:pPr>
      <w:r>
        <w:rPr>
          <w:rFonts w:eastAsia="Calibri"/>
          <w:color w:val="4472C4" w:themeColor="accent1"/>
          <w:sz w:val="28"/>
          <w:szCs w:val="28"/>
        </w:rPr>
      </w:r>
    </w:p>
    <w:p>
      <w:pPr>
        <w:pStyle w:val="Normal"/>
        <w:spacing w:lineRule="auto" w:line="240" w:before="0" w:after="0"/>
        <w:jc w:val="both"/>
        <w:rPr>
          <w:rFonts w:ascii="Times New Roman" w:hAnsi="Times New Roman" w:cs="Times New Roman"/>
          <w:color w:val="4472C4" w:themeColor="accent1"/>
          <w:sz w:val="28"/>
          <w:szCs w:val="28"/>
          <w:lang w:val="fr-FR"/>
        </w:rPr>
      </w:pPr>
      <w:r>
        <w:rPr>
          <w:rFonts w:cs="Times New Roman" w:ascii="Times New Roman" w:hAnsi="Times New Roman"/>
          <w:color w:val="4472C4" w:themeColor="accent1"/>
          <w:sz w:val="28"/>
          <w:szCs w:val="28"/>
          <w:lang w:val="fr-FR"/>
        </w:rPr>
      </w:r>
    </w:p>
    <w:p>
      <w:pPr>
        <w:pStyle w:val="Normal"/>
        <w:spacing w:lineRule="auto" w:line="240" w:before="0" w:after="0"/>
        <w:jc w:val="both"/>
        <w:rPr>
          <w:rFonts w:ascii="Times New Roman" w:hAnsi="Times New Roman" w:cs="Times New Roman"/>
          <w:sz w:val="28"/>
          <w:szCs w:val="28"/>
          <w:lang w:val="fr-FR"/>
        </w:rPr>
      </w:pPr>
      <w:r>
        <w:rPr>
          <w:rFonts w:cs="Times New Roman" w:ascii="Times New Roman" w:hAnsi="Times New Roman"/>
          <w:color w:val="FF00FF"/>
          <w:sz w:val="28"/>
          <w:szCs w:val="28"/>
          <w:lang w:val="fr-FR"/>
        </w:rPr>
        <w:t>DIAPO 2</w:t>
      </w:r>
    </w:p>
    <w:p>
      <w:pPr>
        <w:pStyle w:val="Normal"/>
        <w:spacing w:lineRule="auto" w:line="240" w:before="0" w:after="0"/>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Il faut savoir qu’il est très difficile de trouver des chiffres exacts sur les crédits et les budgets d’EURATOM. Je remercie donc ATOMSTOPP pour ces données en million d’euros qui apparaissent sous forme de graphiques en camembert. </w:t>
      </w:r>
    </w:p>
    <w:p>
      <w:pPr>
        <w:pStyle w:val="Normal"/>
        <w:spacing w:lineRule="auto" w:line="240" w:before="0" w:after="0"/>
        <w:jc w:val="both"/>
        <w:rPr/>
      </w:pPr>
      <w:r>
        <w:rPr>
          <w:rFonts w:cs="Times New Roman" w:ascii="Times New Roman" w:hAnsi="Times New Roman"/>
          <w:sz w:val="28"/>
          <w:szCs w:val="28"/>
          <w:lang w:val="fr-FR"/>
        </w:rPr>
        <w:t xml:space="preserve">J’attire votre attention sur la part dédiée à la FRANCE qui apparaît en jaune et qui a obtenu la plus grosse part du gâteau. </w:t>
      </w:r>
      <w:r>
        <w:rPr>
          <w:rFonts w:cs="Times New Roman" w:ascii="Times New Roman" w:hAnsi="Times New Roman"/>
          <w:sz w:val="28"/>
          <w:szCs w:val="28"/>
          <w:lang w:val="fr-FR"/>
        </w:rPr>
        <w:t>Vous savez : l</w:t>
      </w:r>
      <w:r>
        <w:rPr>
          <w:rFonts w:cs="Times New Roman" w:ascii="Times New Roman" w:hAnsi="Times New Roman"/>
          <w:sz w:val="28"/>
          <w:szCs w:val="28"/>
          <w:lang w:val="fr-FR"/>
        </w:rPr>
        <w:t xml:space="preserve">es années 70 marquaient historiquement le grand développement des centrales nucléaires françaises et pour chaque centrale construite un crédit a été accordé. Par contre, on ne trouve pas trace du remboursement de ces crédits. </w:t>
      </w:r>
      <w:r>
        <w:rPr>
          <w:rFonts w:cs="Times New Roman" w:ascii="Times New Roman" w:hAnsi="Times New Roman"/>
          <w:sz w:val="28"/>
          <w:szCs w:val="28"/>
          <w:lang w:val="fr-FR"/>
        </w:rPr>
        <w:t>Crédits cadeaux,</w:t>
      </w:r>
    </w:p>
    <w:p>
      <w:pPr>
        <w:pStyle w:val="Normal"/>
        <w:spacing w:lineRule="auto" w:line="240" w:before="0" w:after="0"/>
        <w:jc w:val="both"/>
        <w:rPr/>
      </w:pPr>
      <w:r>
        <w:rPr>
          <w:rFonts w:cs="Times New Roman" w:ascii="Times New Roman" w:hAnsi="Times New Roman"/>
          <w:sz w:val="28"/>
          <w:szCs w:val="28"/>
          <w:lang w:val="fr-FR"/>
        </w:rPr>
        <w:t>À partir de 1994, les pays non membres de l'Un</w:t>
      </w:r>
      <w:r>
        <w:rPr>
          <w:rFonts w:cs="Times New Roman" w:ascii="Times New Roman" w:hAnsi="Times New Roman"/>
          <w:sz w:val="28"/>
          <w:szCs w:val="28"/>
          <w:lang w:val="fr-FR"/>
        </w:rPr>
        <w:t>ion européen</w:t>
      </w:r>
      <w:r>
        <w:rPr>
          <w:rFonts w:cs="Times New Roman" w:ascii="Times New Roman" w:hAnsi="Times New Roman"/>
          <w:sz w:val="28"/>
          <w:szCs w:val="28"/>
          <w:lang w:val="fr-FR"/>
        </w:rPr>
        <w:t xml:space="preserve"> d'Europe centrale et orientale, d'Ukraine et de Russie ont également pu solliciter des prêts pour financer des projets d'investissement destinés principalement à la "sûreté et à l'efficacité des centrales nucléaires". </w:t>
      </w:r>
    </w:p>
    <w:p>
      <w:pPr>
        <w:pStyle w:val="Normal"/>
        <w:spacing w:lineRule="auto" w:line="240" w:before="0" w:after="0"/>
        <w:jc w:val="both"/>
        <w:rPr/>
      </w:pPr>
      <w:r>
        <w:rPr>
          <w:rFonts w:cs="Times New Roman" w:ascii="Times New Roman" w:hAnsi="Times New Roman"/>
          <w:sz w:val="28"/>
          <w:szCs w:val="28"/>
          <w:lang w:val="fr-FR"/>
        </w:rPr>
        <w:t xml:space="preserve">Une étude de Lorenz (2014) montre toutefois que ces prêts ont été utilisés pour financer de nouvelles constructions et n'ont pas entraîné d'augmentation de la sécurité. La Bulgarie, la Roumanie et l'Ukraine ont reçu environ   519 millions EUR dans ce contexte. </w:t>
      </w:r>
      <w:r>
        <w:rPr>
          <w:rFonts w:cs="Times New Roman" w:ascii="Times New Roman" w:hAnsi="Times New Roman"/>
          <w:sz w:val="28"/>
          <w:szCs w:val="28"/>
          <w:lang w:val="fr-FR"/>
        </w:rPr>
        <w:t>E</w:t>
      </w:r>
      <w:r>
        <w:rPr>
          <w:rFonts w:cs="Times New Roman" w:ascii="Times New Roman" w:hAnsi="Times New Roman"/>
          <w:sz w:val="28"/>
          <w:szCs w:val="28"/>
          <w:lang w:val="fr-FR"/>
        </w:rPr>
        <w:t xml:space="preserve">ntre 1977 et 2009 dans l'ensemble plus </w:t>
      </w:r>
      <w:r>
        <w:rPr>
          <w:rFonts w:cs="Times New Roman" w:ascii="Times New Roman" w:hAnsi="Times New Roman"/>
          <w:sz w:val="28"/>
          <w:szCs w:val="28"/>
          <w:lang w:val="fr-FR"/>
        </w:rPr>
        <w:t>que</w:t>
      </w:r>
      <w:r>
        <w:rPr>
          <w:rFonts w:cs="Times New Roman" w:ascii="Times New Roman" w:hAnsi="Times New Roman"/>
          <w:sz w:val="28"/>
          <w:szCs w:val="28"/>
          <w:lang w:val="fr-FR"/>
        </w:rPr>
        <w:t xml:space="preserve">1milliard 124 million euros ont été  accordé à ces trois pays (camenbert). </w:t>
      </w:r>
    </w:p>
    <w:p>
      <w:pPr>
        <w:pStyle w:val="Normal"/>
        <w:spacing w:lineRule="auto" w:line="240" w:before="0" w:after="0"/>
        <w:jc w:val="both"/>
        <w:rPr>
          <w:rFonts w:ascii="Times New Roman" w:hAnsi="Times New Roman" w:cs="Times New Roman"/>
          <w:sz w:val="28"/>
          <w:szCs w:val="28"/>
          <w:lang w:val="fr-FR"/>
        </w:rPr>
      </w:pPr>
      <w:r>
        <w:rPr>
          <w:rFonts w:cs="Times New Roman" w:ascii="Times New Roman" w:hAnsi="Times New Roman"/>
          <w:sz w:val="28"/>
          <w:szCs w:val="28"/>
          <w:lang w:val="fr-FR"/>
        </w:rPr>
        <w:t>De 1977 à 2012, la Communauté européenne de l'énergie atomique a accordé 90 prêts pour un montant total d’environ 3 ,5 milliards, EUR.</w:t>
      </w:r>
    </w:p>
    <w:p>
      <w:pPr>
        <w:pStyle w:val="Normal"/>
        <w:suppressAutoHyphens w:val="false"/>
        <w:spacing w:lineRule="auto" w:line="252"/>
        <w:jc w:val="both"/>
        <w:rPr/>
      </w:pPr>
      <w:r>
        <w:rPr>
          <w:rFonts w:eastAsia="Calibri" w:cs="Calibri" w:ascii="Times New Roman" w:hAnsi="Times New Roman"/>
          <w:sz w:val="28"/>
          <w:szCs w:val="28"/>
          <w:lang w:val="fr-FR" w:eastAsia="fr-FR"/>
        </w:rPr>
        <w:t xml:space="preserve">IL faut savoir qu’un prêt Euratom est un passeport de sécurité sans lequel d’autres institutions de financement telles que la BERD (Banque Européenne pour la reconstruction et le développement ) ne peuvent pas </w:t>
      </w:r>
    </w:p>
    <w:p>
      <w:pPr>
        <w:pStyle w:val="Normal"/>
        <w:suppressAutoHyphens w:val="false"/>
        <w:spacing w:lineRule="auto" w:line="252"/>
        <w:jc w:val="both"/>
        <w:rPr/>
      </w:pPr>
      <w:r>
        <w:rPr>
          <w:rFonts w:eastAsia="Calibri" w:cs="Calibri" w:ascii="Times New Roman" w:hAnsi="Times New Roman"/>
          <w:sz w:val="28"/>
          <w:szCs w:val="28"/>
          <w:lang w:val="fr-FR" w:eastAsia="fr-FR"/>
        </w:rPr>
        <w:t>intervenir,</w:t>
      </w:r>
      <w:r>
        <w:rPr>
          <w:rFonts w:eastAsia="Times New Roman" w:cs="Times New Roman" w:ascii="Times New Roman" w:hAnsi="Times New Roman"/>
          <w:color w:val="00000A"/>
          <w:sz w:val="28"/>
          <w:szCs w:val="28"/>
          <w:lang w:val="fr-FR" w:eastAsia="fr-FR"/>
        </w:rPr>
        <w:t xml:space="preserve"> </w:t>
      </w:r>
      <w:r>
        <w:rPr>
          <w:rFonts w:eastAsia="Times New Roman" w:cs="Times New Roman" w:ascii="Times New Roman" w:hAnsi="Times New Roman"/>
          <w:color w:val="00000A"/>
          <w:sz w:val="28"/>
          <w:szCs w:val="28"/>
          <w:lang w:val="fr-FR" w:eastAsia="fr-FR"/>
        </w:rPr>
        <w:t xml:space="preserve">n'accordent pas de prêts, </w:t>
      </w:r>
    </w:p>
    <w:p>
      <w:pPr>
        <w:pStyle w:val="Normal"/>
        <w:spacing w:lineRule="auto" w:line="240" w:before="0" w:after="0"/>
        <w:jc w:val="both"/>
        <w:rPr>
          <w:rFonts w:ascii="Times New Roman" w:hAnsi="Times New Roman" w:cs="Times New Roman"/>
          <w:color w:val="4472C4" w:themeColor="accent1"/>
          <w:sz w:val="28"/>
          <w:szCs w:val="28"/>
          <w:lang w:val="fr-FR"/>
        </w:rPr>
      </w:pPr>
      <w:r>
        <w:rPr>
          <w:rFonts w:cs="Times New Roman" w:ascii="Times New Roman" w:hAnsi="Times New Roman"/>
          <w:color w:val="4472C4" w:themeColor="accent1"/>
          <w:sz w:val="28"/>
          <w:szCs w:val="28"/>
          <w:lang w:val="fr-FR"/>
        </w:rPr>
      </w:r>
    </w:p>
    <w:p>
      <w:pPr>
        <w:pStyle w:val="Normal"/>
        <w:spacing w:lineRule="auto" w:line="240" w:before="0" w:after="0"/>
        <w:jc w:val="both"/>
        <w:rPr>
          <w:rFonts w:ascii="Times New Roman" w:hAnsi="Times New Roman" w:cs="Times New Roman"/>
          <w:color w:val="FF00FF"/>
          <w:sz w:val="28"/>
          <w:szCs w:val="28"/>
          <w:lang w:val="fr-FR"/>
        </w:rPr>
      </w:pPr>
      <w:r>
        <w:rPr/>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FF00FF"/>
          <w:sz w:val="28"/>
          <w:szCs w:val="28"/>
          <w:lang w:val="fr-FR"/>
        </w:rPr>
        <w:t>DIAPO 3</w:t>
      </w:r>
    </w:p>
    <w:p>
      <w:pPr>
        <w:pStyle w:val="Normal"/>
        <w:suppressAutoHyphens w:val="false"/>
        <w:spacing w:lineRule="auto" w:line="252"/>
        <w:jc w:val="both"/>
        <w:rPr/>
      </w:pPr>
      <w:r>
        <w:rPr>
          <w:rFonts w:eastAsia="Calibri" w:cs="Calibri" w:ascii="Times New Roman" w:hAnsi="Times New Roman"/>
          <w:color w:val="000000"/>
          <w:sz w:val="28"/>
          <w:szCs w:val="28"/>
          <w:lang w:val="fr-FR" w:eastAsia="fr-FR"/>
        </w:rPr>
        <w:t xml:space="preserve">Ce camembert montre bien qu’EURATOM a été créée principalement pour la production d’électricité en Europe. Le retraitement qui </w:t>
      </w:r>
      <w:r>
        <w:rPr>
          <w:rFonts w:eastAsia="Calibri" w:cs="Calibri" w:ascii="Times New Roman" w:hAnsi="Times New Roman"/>
          <w:color w:val="000000"/>
          <w:sz w:val="28"/>
          <w:szCs w:val="28"/>
          <w:lang w:val="fr-FR" w:eastAsia="fr-FR"/>
        </w:rPr>
        <w:t>apparaît</w:t>
      </w:r>
      <w:r>
        <w:rPr>
          <w:rFonts w:eastAsia="Calibri" w:cs="Calibri" w:ascii="Times New Roman" w:hAnsi="Times New Roman"/>
          <w:color w:val="000000"/>
          <w:sz w:val="28"/>
          <w:szCs w:val="28"/>
          <w:lang w:val="fr-FR" w:eastAsia="fr-FR"/>
        </w:rPr>
        <w:t xml:space="preserve"> en bleu clair , </w:t>
      </w:r>
    </w:p>
    <w:p>
      <w:pPr>
        <w:pStyle w:val="Normal"/>
        <w:suppressAutoHyphens w:val="false"/>
        <w:spacing w:lineRule="auto" w:line="252"/>
        <w:jc w:val="both"/>
        <w:rPr>
          <w:rFonts w:ascii="Times New Roman" w:hAnsi="Times New Roman" w:eastAsia="Calibri" w:cs="Calibri"/>
          <w:color w:val="000000"/>
          <w:sz w:val="28"/>
          <w:szCs w:val="28"/>
          <w:lang w:val="fr-FR" w:eastAsia="fr-FR"/>
        </w:rPr>
      </w:pPr>
      <w:r>
        <w:rPr/>
      </w:r>
    </w:p>
    <w:p>
      <w:pPr>
        <w:pStyle w:val="Normal"/>
        <w:suppressAutoHyphens w:val="false"/>
        <w:spacing w:lineRule="auto" w:line="252"/>
        <w:jc w:val="both"/>
        <w:rPr/>
      </w:pPr>
      <w:r>
        <w:rPr>
          <w:rFonts w:eastAsia="Calibri" w:cs="Calibri" w:ascii="Times New Roman" w:hAnsi="Times New Roman"/>
          <w:color w:val="000000"/>
          <w:sz w:val="28"/>
          <w:szCs w:val="28"/>
          <w:lang w:val="fr-FR" w:eastAsia="fr-FR"/>
        </w:rPr>
        <w:t>représente 4 % des crédits. Seulement 2 % sont accordés au traitement des déchets.</w:t>
      </w:r>
    </w:p>
    <w:p>
      <w:pPr>
        <w:pStyle w:val="Normal"/>
        <w:suppressAutoHyphens w:val="false"/>
        <w:overflowPunct w:val="false"/>
        <w:spacing w:lineRule="auto" w:line="240" w:before="0" w:after="0"/>
        <w:jc w:val="both"/>
        <w:textAlignment w:val="baseline"/>
        <w:rPr>
          <w:rFonts w:ascii="Times New Roman" w:hAnsi="Times New Roman" w:eastAsia="Times New Roman" w:cs="Times New Roman"/>
          <w:color w:val="00000A"/>
          <w:sz w:val="28"/>
          <w:szCs w:val="28"/>
          <w:lang w:val="fr-FR" w:eastAsia="fr-FR"/>
        </w:rPr>
      </w:pPr>
      <w:r>
        <w:rPr>
          <w:rFonts w:eastAsia="Times New Roman" w:ascii="Times New Roman" w:hAnsi="Times New Roman"/>
          <w:color w:val="000000"/>
          <w:sz w:val="28"/>
          <w:szCs w:val="28"/>
          <w:lang w:val="fr-FR" w:eastAsia="fr-FR"/>
        </w:rPr>
        <w:t>Il n 'existe actuellement aucune solution adéquate ou industriellement mature pour régler cette question des déchets hautement radioactifs.</w:t>
      </w:r>
    </w:p>
    <w:p>
      <w:pPr>
        <w:pStyle w:val="Normal"/>
        <w:suppressAutoHyphens w:val="false"/>
        <w:overflowPunct w:val="false"/>
        <w:spacing w:lineRule="auto" w:line="240" w:before="0" w:after="0"/>
        <w:jc w:val="both"/>
        <w:textAlignment w:val="baseline"/>
        <w:rPr/>
      </w:pPr>
      <w:hyperlink r:id="rId2">
        <w:r>
          <w:rPr>
            <w:rStyle w:val="LienInternet"/>
            <w:rFonts w:eastAsia="Times New Roman" w:ascii="Times New Roman" w:hAnsi="Times New Roman"/>
            <w:color w:val="0000FF"/>
            <w:sz w:val="28"/>
            <w:szCs w:val="28"/>
            <w:u w:val="single"/>
            <w:lang w:val="fr-FR" w:eastAsia="fr-FR"/>
          </w:rPr>
          <w:t>https://www.imt-atlantique.fr/fr/l-ecole/actualites/deux-projets-europeens-euratom-dans-le-domaine-du-nucleaire</w:t>
        </w:r>
      </w:hyperlink>
    </w:p>
    <w:p>
      <w:pPr>
        <w:pStyle w:val="NormalWeb"/>
        <w:overflowPunct w:val="false"/>
        <w:spacing w:beforeAutospacing="0" w:before="0" w:afterAutospacing="0" w:after="0"/>
        <w:jc w:val="both"/>
        <w:textAlignment w:val="baseline"/>
        <w:rPr>
          <w:rStyle w:val="LienInternet"/>
          <w:sz w:val="28"/>
          <w:szCs w:val="28"/>
        </w:rPr>
      </w:pPr>
      <w:r>
        <w:rPr>
          <w:sz w:val="28"/>
          <w:szCs w:val="28"/>
        </w:rPr>
      </w:r>
    </w:p>
    <w:p>
      <w:pPr>
        <w:pStyle w:val="NormalWeb"/>
        <w:overflowPunct w:val="false"/>
        <w:spacing w:beforeAutospacing="0" w:before="0" w:afterAutospacing="0" w:after="0"/>
        <w:jc w:val="both"/>
        <w:textAlignment w:val="baseline"/>
        <w:rPr>
          <w:rStyle w:val="LienInternet"/>
          <w:sz w:val="28"/>
          <w:szCs w:val="28"/>
        </w:rPr>
      </w:pPr>
      <w:r>
        <w:rPr>
          <w:sz w:val="28"/>
          <w:szCs w:val="28"/>
        </w:rPr>
      </w:r>
    </w:p>
    <w:p>
      <w:pPr>
        <w:pStyle w:val="NormalWeb"/>
        <w:overflowPunct w:val="false"/>
        <w:spacing w:beforeAutospacing="0" w:before="0" w:afterAutospacing="0" w:after="0"/>
        <w:jc w:val="both"/>
        <w:textAlignment w:val="baseline"/>
        <w:rPr>
          <w:rStyle w:val="LienInternet"/>
          <w:sz w:val="28"/>
          <w:szCs w:val="28"/>
        </w:rPr>
      </w:pPr>
      <w:r>
        <w:rPr>
          <w:sz w:val="28"/>
          <w:szCs w:val="28"/>
        </w:rPr>
      </w:r>
    </w:p>
    <w:p>
      <w:pPr>
        <w:pStyle w:val="NormalWeb"/>
        <w:overflowPunct w:val="false"/>
        <w:spacing w:beforeAutospacing="0" w:before="0" w:afterAutospacing="0" w:after="0"/>
        <w:jc w:val="both"/>
        <w:textAlignment w:val="baseline"/>
        <w:rPr>
          <w:rStyle w:val="LienInternet"/>
          <w:sz w:val="28"/>
          <w:szCs w:val="28"/>
        </w:rPr>
      </w:pPr>
      <w:r>
        <w:rPr>
          <w:sz w:val="28"/>
          <w:szCs w:val="28"/>
        </w:rPr>
      </w:r>
    </w:p>
    <w:p>
      <w:pPr>
        <w:pStyle w:val="NormalWeb"/>
        <w:overflowPunct w:val="false"/>
        <w:spacing w:beforeAutospacing="0" w:before="0" w:afterAutospacing="0" w:after="0"/>
        <w:jc w:val="both"/>
        <w:textAlignment w:val="baseline"/>
        <w:rPr>
          <w:rStyle w:val="LienInternet"/>
          <w:sz w:val="28"/>
          <w:szCs w:val="28"/>
        </w:rPr>
      </w:pPr>
      <w:r>
        <w:rPr>
          <w:sz w:val="28"/>
          <w:szCs w:val="28"/>
        </w:rPr>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FF00FF"/>
          <w:sz w:val="28"/>
          <w:szCs w:val="28"/>
          <w:lang w:val="fr-FR"/>
        </w:rPr>
        <w:t>DIAPO 4</w:t>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FF00FF"/>
          <w:sz w:val="28"/>
          <w:szCs w:val="28"/>
          <w:lang w:val="fr-FR"/>
        </w:rPr>
      </w:r>
    </w:p>
    <w:p>
      <w:pPr>
        <w:pStyle w:val="Normal"/>
        <w:spacing w:lineRule="auto" w:line="240" w:before="0" w:after="0"/>
        <w:jc w:val="both"/>
        <w:rPr>
          <w:rFonts w:ascii="Times New Roman" w:hAnsi="Times New Roman" w:cs="Times New Roman"/>
          <w:color w:val="00000A"/>
          <w:sz w:val="28"/>
          <w:szCs w:val="28"/>
          <w:lang w:val="fr-FR"/>
        </w:rPr>
      </w:pPr>
      <w:r>
        <w:rPr>
          <w:rFonts w:cs="Times New Roman" w:ascii="Times New Roman" w:hAnsi="Times New Roman"/>
          <w:color w:val="00000A"/>
          <w:sz w:val="28"/>
          <w:szCs w:val="28"/>
          <w:lang w:val="fr-FR"/>
        </w:rPr>
        <w:t>Vous trouverez dans le budget agrégé EURATOM de recherche et de formation de 2014 à 2018 un total de 2 milliards 237 millions d’euros consacré pour la moitié à la fusion, à la fission nucléaire et aux actions directes.</w:t>
      </w:r>
    </w:p>
    <w:p>
      <w:pPr>
        <w:pStyle w:val="Normal"/>
        <w:spacing w:lineRule="auto" w:line="240" w:before="0" w:after="0"/>
        <w:jc w:val="both"/>
        <w:rPr>
          <w:rFonts w:ascii="Times New Roman" w:hAnsi="Times New Roman" w:cs="Times New Roman"/>
          <w:color w:val="00000A"/>
          <w:sz w:val="28"/>
          <w:szCs w:val="28"/>
          <w:lang w:val="fr-FR"/>
        </w:rPr>
      </w:pPr>
      <w:r>
        <w:rPr>
          <w:rFonts w:cs="Times New Roman" w:ascii="Times New Roman" w:hAnsi="Times New Roman"/>
          <w:color w:val="00000A"/>
          <w:sz w:val="28"/>
          <w:szCs w:val="28"/>
          <w:lang w:val="fr-FR"/>
        </w:rPr>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00000A"/>
          <w:sz w:val="28"/>
          <w:szCs w:val="28"/>
          <w:lang w:val="fr-FR"/>
        </w:rPr>
        <w:t>Un peu d’histoire :</w:t>
      </w:r>
    </w:p>
    <w:p>
      <w:pPr>
        <w:pStyle w:val="NormalWeb"/>
        <w:spacing w:lineRule="auto" w:line="252"/>
        <w:jc w:val="both"/>
        <w:rPr/>
      </w:pPr>
      <w:r>
        <w:rPr>
          <w:rFonts w:eastAsia="Calibri"/>
          <w:color w:val="000000" w:themeColor="text1"/>
          <w:sz w:val="28"/>
          <w:szCs w:val="28"/>
        </w:rPr>
        <w:t>Conformément à l'article 7 du traité Euratom, le budget (ITER</w:t>
      </w:r>
      <w:r>
        <w:rPr>
          <w:rFonts w:eastAsia="Calibri"/>
          <w:caps w:val="false"/>
          <w:smallCaps w:val="false"/>
          <w:color w:val="202122"/>
          <w:spacing w:val="0"/>
          <w:sz w:val="28"/>
          <w:szCs w:val="28"/>
        </w:rPr>
        <w:t> </w:t>
      </w:r>
      <w:r>
        <w:rPr>
          <w:rFonts w:eastAsia="Calibri" w:ascii="sans-serif" w:hAnsi="sans-serif"/>
          <w:b/>
          <w:i w:val="false"/>
          <w:caps w:val="false"/>
          <w:smallCaps w:val="false"/>
          <w:color w:val="202122"/>
          <w:spacing w:val="0"/>
          <w:sz w:val="21"/>
          <w:szCs w:val="28"/>
        </w:rPr>
        <w:t>Réacteur thermonucléaire expérimental international</w:t>
      </w:r>
      <w:r>
        <w:rPr>
          <w:rFonts w:eastAsia="Calibri"/>
          <w:color w:val="000000" w:themeColor="text1"/>
          <w:sz w:val="28"/>
          <w:szCs w:val="28"/>
        </w:rPr>
        <w:t xml:space="preserve">) a été retiré du cadre financier pluriannuel et du programme Euratom à partir de 2014. Pourquoi ? eh bien </w:t>
      </w:r>
      <w:bookmarkStart w:id="0" w:name="_Hlk68023838"/>
      <w:r>
        <w:rPr>
          <w:rFonts w:eastAsia="Calibri"/>
          <w:color w:val="000000" w:themeColor="text1"/>
          <w:sz w:val="28"/>
          <w:szCs w:val="28"/>
        </w:rPr>
        <w:t xml:space="preserve">Le budget pour ITER était tellement faramineux qu’il a été séparé de celui d’EURATOM. En partie cette </w:t>
      </w:r>
      <w:r>
        <w:rPr>
          <w:rFonts w:eastAsia="Calibri"/>
          <w:color w:val="000000" w:themeColor="text1"/>
          <w:sz w:val="28"/>
          <w:szCs w:val="28"/>
        </w:rPr>
        <w:t>hausse</w:t>
      </w:r>
      <w:r>
        <w:rPr>
          <w:rFonts w:eastAsia="Calibri"/>
          <w:color w:val="000000" w:themeColor="text1"/>
          <w:sz w:val="28"/>
          <w:szCs w:val="28"/>
        </w:rPr>
        <w:t xml:space="preserve"> du budget était consacrée à la construction d’ITER </w:t>
      </w:r>
    </w:p>
    <w:p>
      <w:pPr>
        <w:pStyle w:val="NormalWeb"/>
        <w:spacing w:lineRule="auto" w:line="252"/>
        <w:jc w:val="both"/>
        <w:rPr/>
      </w:pPr>
      <w:bookmarkEnd w:id="0"/>
      <w:r>
        <w:rPr>
          <w:rFonts w:eastAsia="Calibri"/>
          <w:color w:val="000000" w:themeColor="text1"/>
          <w:sz w:val="28"/>
          <w:szCs w:val="28"/>
        </w:rPr>
        <w:t>Cette année les États membres de l'U</w:t>
      </w:r>
      <w:r>
        <w:rPr>
          <w:rFonts w:eastAsia="Calibri"/>
          <w:color w:val="000000" w:themeColor="text1"/>
          <w:sz w:val="28"/>
          <w:szCs w:val="28"/>
        </w:rPr>
        <w:t xml:space="preserve">nion </w:t>
      </w:r>
      <w:r>
        <w:rPr>
          <w:rFonts w:eastAsia="Calibri"/>
          <w:color w:val="000000" w:themeColor="text1"/>
          <w:sz w:val="28"/>
          <w:szCs w:val="28"/>
        </w:rPr>
        <w:t>E</w:t>
      </w:r>
      <w:r>
        <w:rPr>
          <w:rFonts w:eastAsia="Calibri"/>
          <w:color w:val="000000" w:themeColor="text1"/>
          <w:sz w:val="28"/>
          <w:szCs w:val="28"/>
        </w:rPr>
        <w:t>uropéen</w:t>
      </w:r>
      <w:r>
        <w:rPr>
          <w:rFonts w:eastAsia="Calibri"/>
          <w:color w:val="000000" w:themeColor="text1"/>
          <w:sz w:val="28"/>
          <w:szCs w:val="28"/>
        </w:rPr>
        <w:t xml:space="preserve"> ont approuvé une rallonge de 5,6 milliards d'euros pour ITER . Cela signifie que 15 ans seulement après la décision de créer ITER en 2006, les coûts initialement prévus ont été multipliés par trois pour atteindre 20 milliards d'euros </w:t>
      </w:r>
    </w:p>
    <w:p>
      <w:pPr>
        <w:pStyle w:val="Normal"/>
        <w:spacing w:lineRule="auto" w:line="240" w:beforeAutospacing="0" w:before="0" w:afterAutospacing="0" w:after="0"/>
        <w:jc w:val="both"/>
        <w:rPr>
          <w:rFonts w:ascii="Times New Roman" w:hAnsi="Times New Roman" w:cs="Times New Roman"/>
          <w:sz w:val="28"/>
          <w:szCs w:val="28"/>
          <w:lang w:val="fr-FR"/>
        </w:rPr>
      </w:pPr>
      <w:r>
        <w:rPr>
          <w:rFonts w:cs="Times New Roman" w:ascii="Times New Roman" w:hAnsi="Times New Roman"/>
          <w:color w:val="FF00FF"/>
          <w:sz w:val="28"/>
          <w:szCs w:val="28"/>
          <w:lang w:val="fr-FR"/>
        </w:rPr>
        <w:t>DIAPO 5</w:t>
      </w:r>
    </w:p>
    <w:p>
      <w:pPr>
        <w:pStyle w:val="Normal"/>
        <w:spacing w:lineRule="auto" w:line="240" w:before="0" w:after="0"/>
        <w:jc w:val="both"/>
        <w:rPr>
          <w:rFonts w:ascii="Times New Roman" w:hAnsi="Times New Roman" w:cs="Times New Roman"/>
          <w:color w:val="0070C0"/>
          <w:sz w:val="28"/>
          <w:szCs w:val="28"/>
          <w:lang w:val="fr-FR"/>
        </w:rPr>
      </w:pPr>
      <w:r>
        <w:rPr>
          <w:rFonts w:cs="Times New Roman" w:ascii="Times New Roman" w:hAnsi="Times New Roman"/>
          <w:color w:val="0070C0"/>
          <w:sz w:val="28"/>
          <w:szCs w:val="28"/>
          <w:lang w:val="fr-FR"/>
        </w:rPr>
      </w:r>
    </w:p>
    <w:p>
      <w:pPr>
        <w:pStyle w:val="NormalWeb"/>
        <w:spacing w:beforeAutospacing="0" w:before="0" w:afterAutospacing="0" w:after="0"/>
        <w:jc w:val="both"/>
        <w:rPr>
          <w:sz w:val="28"/>
          <w:szCs w:val="28"/>
        </w:rPr>
      </w:pPr>
      <w:r>
        <w:rPr>
          <w:rFonts w:eastAsia="Calibri"/>
          <w:color w:val="000000" w:themeColor="text1"/>
          <w:sz w:val="28"/>
          <w:szCs w:val="28"/>
        </w:rPr>
        <w:t xml:space="preserve">Cette fois le budget est en milliard. Voici les financements pour les projets de recherche </w:t>
      </w:r>
    </w:p>
    <w:p>
      <w:pPr>
        <w:pStyle w:val="NormalWeb"/>
        <w:spacing w:beforeAutospacing="0" w:before="0" w:afterAutospacing="0" w:after="0"/>
        <w:jc w:val="both"/>
        <w:rPr>
          <w:sz w:val="28"/>
          <w:szCs w:val="28"/>
        </w:rPr>
      </w:pPr>
      <w:r>
        <w:rPr>
          <w:rFonts w:eastAsia="Calibri"/>
          <w:color w:val="000000" w:themeColor="text1"/>
          <w:sz w:val="28"/>
          <w:szCs w:val="28"/>
        </w:rPr>
        <w:t xml:space="preserve">On observe un grand écart dans l’attribution des fonds. Lorsqu’on fait l’addition des fonds alloués à EURATOM et ITER, on obtient 8, 5 Milliards d’euros. Or pour l’alimentation, l’agriculture et le développement rural ainsi que la bio-économie on est seulement à 6 milliards pour 6 années. </w:t>
      </w:r>
    </w:p>
    <w:p>
      <w:pPr>
        <w:pStyle w:val="NormalWeb"/>
        <w:spacing w:beforeAutospacing="0" w:before="0" w:afterAutospacing="0" w:after="0"/>
        <w:jc w:val="both"/>
        <w:rPr>
          <w:rFonts w:eastAsia="Calibri"/>
          <w:color w:val="000000" w:themeColor="text1"/>
          <w:sz w:val="28"/>
          <w:szCs w:val="28"/>
        </w:rPr>
      </w:pPr>
      <w:r>
        <w:rPr/>
      </w:r>
    </w:p>
    <w:p>
      <w:pPr>
        <w:pStyle w:val="NormalWeb"/>
        <w:spacing w:beforeAutospacing="0" w:before="0" w:afterAutospacing="0" w:after="0"/>
        <w:jc w:val="both"/>
        <w:rPr>
          <w:sz w:val="28"/>
          <w:szCs w:val="28"/>
        </w:rPr>
      </w:pPr>
      <w:r>
        <w:rPr>
          <w:rFonts w:eastAsia="Calibri"/>
          <w:color w:val="000000" w:themeColor="text1"/>
          <w:sz w:val="28"/>
          <w:szCs w:val="28"/>
        </w:rPr>
        <w:t xml:space="preserve">Ce tableau est issu d’une source officielle </w:t>
      </w:r>
    </w:p>
    <w:p>
      <w:pPr>
        <w:pStyle w:val="NormalWeb"/>
        <w:spacing w:beforeAutospacing="0" w:before="0" w:afterAutospacing="0" w:after="0"/>
        <w:jc w:val="both"/>
        <w:rPr/>
      </w:pPr>
      <w:hyperlink r:id="rId3">
        <w:r>
          <w:rPr>
            <w:rStyle w:val="LienInternet"/>
            <w:rFonts w:eastAsia="Calibri"/>
            <w:sz w:val="28"/>
            <w:szCs w:val="28"/>
          </w:rPr>
          <w:t>https://ec.europa.eu/programmes/horizon2020/en/search/site/EURATOM</w:t>
        </w:r>
      </w:hyperlink>
    </w:p>
    <w:p>
      <w:pPr>
        <w:pStyle w:val="NormalWeb"/>
        <w:spacing w:beforeAutospacing="0" w:before="0" w:afterAutospacing="0" w:after="0"/>
        <w:jc w:val="both"/>
        <w:rPr>
          <w:sz w:val="28"/>
          <w:szCs w:val="28"/>
        </w:rPr>
      </w:pPr>
      <w:r>
        <w:rPr>
          <w:rFonts w:eastAsia="Calibri"/>
          <w:color w:val="000000" w:themeColor="text1"/>
          <w:sz w:val="28"/>
          <w:szCs w:val="28"/>
        </w:rPr>
        <w:t> </w:t>
      </w:r>
    </w:p>
    <w:p>
      <w:pPr>
        <w:pStyle w:val="Normal"/>
        <w:spacing w:lineRule="auto" w:line="240" w:before="0" w:after="0"/>
        <w:jc w:val="both"/>
        <w:rPr>
          <w:rFonts w:ascii="Times New Roman" w:hAnsi="Times New Roman" w:cs="Times New Roman"/>
          <w:color w:val="4472C4" w:themeColor="accent1"/>
          <w:sz w:val="28"/>
          <w:szCs w:val="28"/>
          <w:lang w:val="fr-FR"/>
        </w:rPr>
      </w:pPr>
      <w:r>
        <w:rPr>
          <w:rFonts w:cs="Times New Roman" w:ascii="Times New Roman" w:hAnsi="Times New Roman"/>
          <w:color w:val="4472C4" w:themeColor="accent1"/>
          <w:sz w:val="28"/>
          <w:szCs w:val="28"/>
          <w:lang w:val="fr-FR"/>
        </w:rPr>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FF00FF"/>
          <w:sz w:val="28"/>
          <w:szCs w:val="28"/>
          <w:lang w:val="fr-FR"/>
        </w:rPr>
        <w:t>DIAPO 6</w:t>
      </w:r>
    </w:p>
    <w:p>
      <w:pPr>
        <w:pStyle w:val="Normal"/>
        <w:spacing w:lineRule="auto" w:line="240" w:before="0" w:after="0"/>
        <w:jc w:val="both"/>
        <w:rPr>
          <w:rFonts w:ascii="Times New Roman" w:hAnsi="Times New Roman" w:cs="Times New Roman"/>
          <w:color w:val="FF00FF"/>
          <w:sz w:val="28"/>
          <w:szCs w:val="28"/>
          <w:lang w:val="fr-FR"/>
        </w:rPr>
      </w:pPr>
      <w:r>
        <w:rPr>
          <w:rFonts w:cs="Times New Roman" w:ascii="Times New Roman" w:hAnsi="Times New Roman"/>
          <w:color w:val="FF00FF"/>
          <w:sz w:val="28"/>
          <w:szCs w:val="28"/>
          <w:lang w:val="fr-FR"/>
        </w:rPr>
      </w:r>
    </w:p>
    <w:p>
      <w:pPr>
        <w:pStyle w:val="NormalWeb"/>
        <w:spacing w:beforeAutospacing="0" w:before="0" w:afterAutospacing="0" w:after="0"/>
        <w:jc w:val="both"/>
        <w:rPr/>
      </w:pPr>
      <w:r>
        <w:rPr>
          <w:rFonts w:eastAsia="Calibri"/>
          <w:color w:val="000000" w:themeColor="text1"/>
          <w:sz w:val="28"/>
          <w:szCs w:val="28"/>
        </w:rPr>
        <w:t>POUR INFO</w:t>
      </w:r>
      <w:r>
        <w:rPr>
          <w:rFonts w:eastAsia="Calibri"/>
          <w:color w:val="000000" w:themeColor="text1"/>
          <w:sz w:val="28"/>
          <w:szCs w:val="28"/>
        </w:rPr>
        <w:t>RMATION</w:t>
      </w:r>
    </w:p>
    <w:p>
      <w:pPr>
        <w:pStyle w:val="NormalWeb"/>
        <w:spacing w:beforeAutospacing="0" w:before="0" w:afterAutospacing="0" w:after="0"/>
        <w:jc w:val="both"/>
        <w:rPr/>
      </w:pPr>
      <w:r>
        <w:rPr>
          <w:rFonts w:eastAsia="Calibri"/>
          <w:color w:val="000000" w:themeColor="text1"/>
          <w:sz w:val="28"/>
          <w:szCs w:val="28"/>
        </w:rPr>
        <w:t>z</w:t>
      </w:r>
    </w:p>
    <w:p>
      <w:pPr>
        <w:pStyle w:val="NormalWeb"/>
        <w:spacing w:beforeAutospacing="0" w:before="0" w:afterAutospacing="0" w:after="0"/>
        <w:jc w:val="both"/>
        <w:rPr>
          <w:sz w:val="28"/>
          <w:szCs w:val="28"/>
        </w:rPr>
      </w:pPr>
      <w:r>
        <w:rPr>
          <w:rFonts w:eastAsia="Calibri"/>
          <w:color w:val="000000" w:themeColor="text1"/>
          <w:sz w:val="28"/>
          <w:szCs w:val="28"/>
        </w:rPr>
        <w:t>Ici on voit que l’Allemagne a adopté une posture intermédiaire. D’un côté elle a décidé de sortir du nucléaire, de l’autre elle a choisi de maintenir un lien avec EURATOM sur le pôle recherche.</w:t>
      </w:r>
    </w:p>
    <w:p>
      <w:pPr>
        <w:pStyle w:val="NormalWeb"/>
        <w:spacing w:beforeAutospacing="0" w:before="0" w:afterAutospacing="0" w:after="0"/>
        <w:jc w:val="both"/>
        <w:rPr>
          <w:sz w:val="28"/>
          <w:szCs w:val="28"/>
        </w:rPr>
      </w:pPr>
      <w:r>
        <w:rPr>
          <w:rFonts w:eastAsia="Calibri"/>
          <w:color w:val="000000" w:themeColor="text1"/>
          <w:sz w:val="28"/>
          <w:szCs w:val="28"/>
        </w:rPr>
        <w:t> </w:t>
      </w:r>
      <w:r>
        <w:rPr>
          <w:rFonts w:eastAsia="Calibri"/>
          <w:color w:val="000000" w:themeColor="text1"/>
          <w:sz w:val="28"/>
          <w:szCs w:val="28"/>
        </w:rPr>
        <w:t>Gunter vous en dira plus.</w:t>
      </w:r>
    </w:p>
    <w:p>
      <w:pPr>
        <w:pStyle w:val="NormalWeb"/>
        <w:spacing w:beforeAutospacing="0" w:before="0" w:afterAutospacing="0" w:after="0"/>
        <w:jc w:val="both"/>
        <w:rPr>
          <w:sz w:val="28"/>
          <w:szCs w:val="28"/>
        </w:rPr>
      </w:pPr>
      <w:r>
        <w:rPr>
          <w:rFonts w:eastAsia="Calibri"/>
          <w:color w:val="000000" w:themeColor="text1"/>
          <w:sz w:val="28"/>
          <w:szCs w:val="28"/>
        </w:rPr>
        <w:t xml:space="preserve">Concernant l'objectif inadéquat de neutralité climatique d'ici 2050, la fusion nucléaire arriverait bien trop tard. Aujourd'hui, de toute évidence, plus personne au sein des gouvernements ne se pose cette question et beaucoup courent aveuglément après les promesses des chercheurs nucléaires. Ils décident de milliards supplémentaires de financement pour la recherche sur la fusion nucléaire tous les 6 ans environ tout en acceptant que les constructions aient déjà 6 ans de retard.  </w:t>
      </w:r>
    </w:p>
    <w:p>
      <w:pPr>
        <w:pStyle w:val="NormalWeb"/>
        <w:spacing w:beforeAutospacing="0" w:before="0" w:afterAutospacing="0" w:after="0"/>
        <w:jc w:val="both"/>
        <w:rPr>
          <w:rFonts w:eastAsia="Calibri"/>
          <w:color w:val="FF3333"/>
          <w:sz w:val="28"/>
          <w:szCs w:val="28"/>
        </w:rPr>
      </w:pPr>
      <w:r>
        <w:rPr>
          <w:rFonts w:eastAsia="Calibri"/>
          <w:color w:val="FF3333"/>
          <w:sz w:val="28"/>
          <w:szCs w:val="28"/>
        </w:rPr>
      </w:r>
    </w:p>
    <w:p>
      <w:pPr>
        <w:pStyle w:val="NormalWeb"/>
        <w:spacing w:beforeAutospacing="0" w:before="0" w:afterAutospacing="0" w:after="0"/>
        <w:jc w:val="both"/>
        <w:rPr>
          <w:rFonts w:eastAsia="Calibri"/>
          <w:color w:val="000000" w:themeColor="text1"/>
          <w:sz w:val="28"/>
          <w:szCs w:val="28"/>
        </w:rPr>
      </w:pPr>
      <w:r>
        <w:rPr>
          <w:rFonts w:eastAsia="Calibri"/>
          <w:color w:val="000000" w:themeColor="text1"/>
          <w:sz w:val="28"/>
          <w:szCs w:val="28"/>
        </w:rPr>
        <w:t>Enfin, je dois souligner que la promotion unilatérale de l'énergie nucléaire par Euratom ne doit pas continuer dans le cadre des objectifs climatiques européens. Cela fausse la concurrence avec d’autres sources d’énergie. Ce gaspillage de fonds par EURATOM et ITER doit être arrêté - nous comptons sur l'UE et sur vous en tant que ses représentants pour stopper</w:t>
      </w:r>
      <w:r>
        <w:rPr>
          <w:rFonts w:eastAsia="Calibri" w:eastAsiaTheme="minorHAnsi"/>
          <w:color w:val="050505"/>
          <w:sz w:val="28"/>
          <w:szCs w:val="28"/>
          <w:shd w:fill="FFFFFF" w:val="clear"/>
          <w:lang w:eastAsia="en-US"/>
        </w:rPr>
        <w:t xml:space="preserve"> l’hémorragie le</w:t>
      </w:r>
      <w:r>
        <w:rPr>
          <w:rFonts w:eastAsia="Calibri"/>
          <w:color w:val="000000" w:themeColor="text1"/>
          <w:sz w:val="28"/>
          <w:szCs w:val="28"/>
        </w:rPr>
        <w:t xml:space="preserve"> plus vite possible et verser les fonds vers des modèles durables, et non pas de sauvegarder des industries en faillite.</w:t>
      </w:r>
    </w:p>
    <w:p>
      <w:pPr>
        <w:pStyle w:val="NormalWeb"/>
        <w:spacing w:beforeAutospacing="0" w:before="0" w:afterAutospacing="0" w:after="0"/>
        <w:jc w:val="both"/>
        <w:rPr/>
      </w:pPr>
      <w:r>
        <w:rPr>
          <w:rFonts w:eastAsia="Calibri"/>
          <w:color w:val="000000" w:themeColor="text1"/>
          <w:sz w:val="28"/>
          <w:szCs w:val="28"/>
        </w:rPr>
        <w:br/>
      </w:r>
      <w:r>
        <w:rPr>
          <w:rFonts w:eastAsia="Calibri"/>
          <w:color w:val="0070C0"/>
          <w:sz w:val="28"/>
          <w:szCs w:val="28"/>
        </w:rPr>
        <w:t> </w:t>
      </w:r>
      <w:r>
        <w:rPr>
          <w:rFonts w:eastAsia="Calibri"/>
          <w:color w:val="000000"/>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altName w:val="Helvetica"/>
    <w:charset w:val="00"/>
    <w:family w:val="roman"/>
    <w:pitch w:val="variable"/>
  </w:font>
  <w:font w:name="sans-serif">
    <w:altName w:val="Arial"/>
    <w:charset w:val="00"/>
    <w:family w:val="auto"/>
    <w:pitch w:val="default"/>
  </w:font>
</w:fonts>
</file>

<file path=word/settings.xml><?xml version="1.0" encoding="utf-8"?>
<w:settings xmlns:w="http://schemas.openxmlformats.org/wordprocessingml/2006/main">
  <w:zoom w:percent="16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n-GB" w:eastAsia="en-US" w:bidi="ar-SA"/>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Titreprincipal"/>
    <w:pPr>
      <w:outlineLvl w:val="2"/>
    </w:pP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720bda"/>
    <w:rPr>
      <w:color w:val="0000FF"/>
      <w:u w:val="single"/>
    </w:rPr>
  </w:style>
  <w:style w:type="character" w:styleId="ListLabel1" w:customStyle="1">
    <w:name w:val="ListLabel 1"/>
    <w:qFormat/>
    <w:rPr>
      <w:rFonts w:cs="Courier New"/>
    </w:rPr>
  </w:style>
  <w:style w:type="character" w:styleId="ListLabel2" w:customStyle="1">
    <w:name w:val="ListLabel 2"/>
    <w:qFormat/>
    <w:rPr>
      <w:rFonts w:cs="Symbol"/>
      <w:b/>
      <w:sz w:val="26"/>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name w:val="ListLabel 5"/>
    <w:qFormat/>
    <w:rPr>
      <w:rFonts w:cs="Symbol"/>
      <w:b/>
      <w:sz w:val="26"/>
    </w:rPr>
  </w:style>
  <w:style w:type="character" w:styleId="ListLabel6">
    <w:name w:val="ListLabel 6"/>
    <w:qFormat/>
    <w:rPr>
      <w:rFonts w:cs="Courier New"/>
    </w:rPr>
  </w:style>
  <w:style w:type="character" w:styleId="ListLabel7">
    <w:name w:val="ListLabel 7"/>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f53fa4"/>
    <w:pPr>
      <w:spacing w:lineRule="auto" w:line="240" w:beforeAutospacing="1" w:afterAutospacing="1"/>
    </w:pPr>
    <w:rPr>
      <w:rFonts w:ascii="Times New Roman" w:hAnsi="Times New Roman" w:eastAsia="Times New Roman" w:cs="Times New Roman"/>
      <w:sz w:val="24"/>
      <w:szCs w:val="24"/>
      <w:lang w:val="fr-FR" w:eastAsia="fr-FR"/>
    </w:rPr>
  </w:style>
  <w:style w:type="paragraph" w:styleId="Quotations" w:customStyle="1">
    <w:name w:val="Quotations"/>
    <w:basedOn w:val="Normal"/>
    <w:qFormat/>
    <w:pPr/>
    <w:rPr/>
  </w:style>
  <w:style w:type="paragraph" w:styleId="Soustitre">
    <w:name w:val="Sous-titre"/>
    <w:basedOn w:val="Titreprincip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mt-atlantique.fr/fr/l-ecole/actualites/deux-projets-europeens-euratom-dans-le-domaine-du-nucleaire" TargetMode="External"/><Relationship Id="rId3" Type="http://schemas.openxmlformats.org/officeDocument/2006/relationships/hyperlink" Target="https://ec.europa.eu/programmes/horizon2020/en/search/site/EURAT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LibreOffice/4.4.7.2$Windows_x86 LibreOffice_project/f3153a8b245191196a4b6b9abd1d0da16eead600</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2021-03-30T16:02:00Z</dcterms:created>
  <dc:creator>louise be</dc:creator>
  <dc:language>fr-FR</dc:language>
  <cp:lastPrinted>2021-04-11T17:23:44Z</cp:lastPrinted>
  <dcterms:modified xsi:type="dcterms:W3CDTF">2021-04-11T17:39:53Z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